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tabs>
          <w:tab w:val="left" w:pos="916" w:leader="none"/>
          <w:tab w:val="left" w:pos="113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tabs>
          <w:tab w:val="left" w:pos="916" w:leader="none"/>
          <w:tab w:val="left" w:pos="113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Times New Roman" w:hAnsi="Times New Roman" w:cs="Times New Roman" w:eastAsia="Times New Roman"/>
          <w:color w:val="auto"/>
          <w:spacing w:val="0"/>
          <w:position w:val="0"/>
          <w:sz w:val="16"/>
          <w:shd w:fill="auto" w:val="clear"/>
        </w:rPr>
      </w:pPr>
      <w:r>
        <w:object w:dxaOrig="1154" w:dyaOrig="1194">
          <v:rect xmlns:o="urn:schemas-microsoft-com:office:office" xmlns:v="urn:schemas-microsoft-com:vml" id="rectole0000000000" style="width:57.700000pt;height:59.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Paint.Picture" DrawAspect="Content" ObjectID="0000000000" ShapeID="rectole0000000000" r:id="docRId0"/>
        </w:object>
      </w:r>
    </w:p>
    <w:p>
      <w:pPr>
        <w:keepNext w:val="true"/>
        <w:tabs>
          <w:tab w:val="left" w:pos="916" w:leader="none"/>
          <w:tab w:val="left" w:pos="113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tabs>
          <w:tab w:val="left" w:pos="916" w:leader="none"/>
          <w:tab w:val="left" w:pos="113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tabs>
          <w:tab w:val="left" w:pos="916" w:leader="none"/>
          <w:tab w:val="left" w:pos="113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keepNext w:val="true"/>
        <w:tabs>
          <w:tab w:val="left" w:pos="916" w:leader="none"/>
          <w:tab w:val="left" w:pos="113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Л У Ц Ь К А М І С Ь К А Р А Д А</w:t>
      </w:r>
    </w:p>
    <w:p>
      <w:pPr>
        <w:tabs>
          <w:tab w:val="left" w:pos="916" w:leader="none"/>
          <w:tab w:val="left" w:pos="113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Times New Roman" w:hAnsi="Times New Roman" w:cs="Times New Roman" w:eastAsia="Times New Roman"/>
          <w:color w:val="auto"/>
          <w:spacing w:val="0"/>
          <w:position w:val="0"/>
          <w:sz w:val="10"/>
          <w:shd w:fill="auto" w:val="clear"/>
        </w:rPr>
      </w:pPr>
    </w:p>
    <w:p>
      <w:pPr>
        <w:tabs>
          <w:tab w:val="left" w:pos="916" w:leader="none"/>
          <w:tab w:val="left" w:pos="113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ДЕПАРТАМЕНТ ОСВІТИ</w:t>
      </w:r>
    </w:p>
    <w:p>
      <w:pPr>
        <w:tabs>
          <w:tab w:val="left" w:pos="916" w:leader="none"/>
          <w:tab w:val="left" w:pos="113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tabs>
          <w:tab w:val="left" w:pos="916" w:leader="none"/>
          <w:tab w:val="left" w:pos="113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Н А К А З</w:t>
      </w:r>
    </w:p>
    <w:p>
      <w:pPr>
        <w:tabs>
          <w:tab w:val="left" w:pos="4674" w:leader="none"/>
        </w:tabs>
        <w:spacing w:before="0" w:after="0" w:line="240"/>
        <w:ind w:right="0" w:left="0" w:firstLine="0"/>
        <w:jc w:val="both"/>
        <w:rPr>
          <w:rFonts w:ascii="Times New Roman" w:hAnsi="Times New Roman" w:cs="Times New Roman" w:eastAsia="Times New Roman"/>
          <w:b/>
          <w:color w:val="auto"/>
          <w:spacing w:val="0"/>
          <w:position w:val="0"/>
          <w:sz w:val="40"/>
          <w:shd w:fill="auto" w:val="clear"/>
        </w:rPr>
      </w:pPr>
    </w:p>
    <w:p>
      <w:pPr>
        <w:tabs>
          <w:tab w:val="left" w:pos="4674" w:leader="none"/>
          <w:tab w:val="left" w:pos="8520" w:leader="none"/>
          <w:tab w:val="left" w:pos="8946" w:leader="none"/>
        </w:tabs>
        <w:spacing w:before="0" w:after="0" w:line="240"/>
        <w:ind w:right="0" w:left="0" w:firstLine="0"/>
        <w:jc w:val="both"/>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17.12.2024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8"/>
          <w:shd w:fill="auto" w:val="clear"/>
        </w:rPr>
        <w:t xml:space="preserve">Луцьк                         № _</w:t>
      </w:r>
      <w:r>
        <w:rPr>
          <w:rFonts w:ascii="Times New Roman" w:hAnsi="Times New Roman" w:cs="Times New Roman" w:eastAsia="Times New Roman"/>
          <w:color w:val="auto"/>
          <w:spacing w:val="0"/>
          <w:position w:val="0"/>
          <w:sz w:val="28"/>
          <w:u w:val="single"/>
          <w:shd w:fill="auto" w:val="clear"/>
        </w:rPr>
        <w:t xml:space="preserve">538  – од</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 встановлення грошових норм</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 пільг при оплаті за харчування дітей у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закладах дошкільної освіти у 2025 році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tabs>
          <w:tab w:val="left" w:pos="6165" w:leader="none"/>
        </w:tabs>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Відповідно до рішення виконавчого комітету від 11.12.2024 року                     № 714-1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 встановлення розміру плати та пільг при оплаті за харчування у закладах дошкільної освіти у 2025 році</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 з метою належної організації харчування дітей у закладах дошкільної освіти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НАКАЗУЮ: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Установити грошові норми за харчування однієї дитини в день у закладах дошкільної освіти: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 </w:t>
      </w:r>
      <w:r>
        <w:rPr>
          <w:rFonts w:ascii="Times New Roman" w:hAnsi="Times New Roman" w:cs="Times New Roman" w:eastAsia="Times New Roman"/>
          <w:color w:val="auto"/>
          <w:spacing w:val="0"/>
          <w:position w:val="0"/>
          <w:sz w:val="28"/>
          <w:shd w:fill="auto" w:val="clear"/>
        </w:rPr>
        <w:t xml:space="preserve">у групах загального розвитку закладів дошкільної освіти та у дошкільному підрозділі, що в складі комунального закладу середньої освіти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Клепачівська гімназія № 35 Луцької міської ради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 розмірі: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дітей віком до 4-х років – 45,00 грн;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дітей віком від 4-х до 7-ми років – 55,00 грн;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дітей, які постраждали внаслідок аварії на ЧАЕС: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 4-х років – 45,00 грн,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від 4-х до 7-ми років – 55,00 грн;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у закладі дошкільної освіти № 29 у розмірі: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дітей віком до 4-х років – 55,00 грн;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дітей віком від 4-х до 7-ми років – 65,00 грн;</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0"/>
          <w:sz w:val="28"/>
          <w:shd w:fill="auto" w:val="clear"/>
        </w:rPr>
        <w:t xml:space="preserve">у групах компенсуючого типу та інклюзивних групах для дітей закладів дошкільної освіти у розмірі:</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дітей віком до 4-х років – 45,00 грн;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дітей віком від 4-х до 7-ми років – 55,00 грн;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у закладі дошкільної освіти № 28 у розмірі: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групах з 12-годинним перебуванням дітей – 55,00 грн.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Надати пільгу при оплаті за харчування у закладах дошкільної освіти в розмірі 30 % від розміру плати за харчування на день для дітей: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 </w:t>
      </w:r>
      <w:r>
        <w:rPr>
          <w:rFonts w:ascii="Times New Roman" w:hAnsi="Times New Roman" w:cs="Times New Roman" w:eastAsia="Times New Roman"/>
          <w:color w:val="auto"/>
          <w:spacing w:val="0"/>
          <w:position w:val="0"/>
          <w:sz w:val="28"/>
          <w:shd w:fill="auto" w:val="clear"/>
        </w:rPr>
        <w:t xml:space="preserve">місце проживання яких зареєстроване на території міста Луцька або інших населених пунктів, що належать до Луцької міської територіальної громади;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місце проживання яких не зареєстроване на території міста Луцька або інших населених пунктів, що належать до Луцької міської територіальної громади, за умови: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укладання угод про здійснення міжбюджетних трансфертів між Луцькою міською радою та об’єднаною територіальною громадою чи іншим органом місцевого самоврядування;</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якщо батьки дитини або один із них працює в установах, організаціях і підприємствах незалежно від форми власності, фізична особа-підприємець (їх наймані працівники), самозайняті особи (особи, які займаються незалежною професійною діяльністю), які сплачують в бюджет Луцької міської територіальної громади податок з доходів фізичних осіб та/або єдиний податок.</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Обставини, зазначені у підпунктах 1, 2, пункту 2, підтверджуються шляхом надання в заклад дошкільної освіти довідки з місця роботи (служби) чи податкового органу та/або відповідного посвідчення, та/або копії документу, що підтверджує місце реєстрації.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0"/>
          <w:sz w:val="28"/>
          <w:shd w:fill="auto" w:val="clear"/>
        </w:rPr>
        <w:t xml:space="preserve">Зменшити з 01.01.2025 на 50 % розмір плати за харчування дітей для батьків, у сім’ях яких є троє і більше дітей.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Встановити безкоштовне харчування у закладах дошкільної освіти для таких категорій дітей:</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із сімей, які отримують допомогу відповідно до Закону України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 державну соціальну допомогу малозабезпеченим сім’ям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підставі довідок про призначення такої допомоги, виданих органами праці та соціального захисту);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військовослужбовців Збройних сил України та інших військових формувань, створених відповідно до чинного законодавства України, співробітників правоохоронних органів, які беруть безпосередню участь у бойових діях, перебуваючи безпосередньо в районах у період здійснення заходів з національної безпеки і оборони, відсічі та стримування збройної агресії (на підставі довідок, наказів тощо, виданих відповідними уповноваженими органами). Дозволити переносити термін безкоштовного харчування дітей із моменту надання відповідних документів на визначену кількість днів, що відповідає періоду перебування батьків в районах забезпечення оборони України, захисту безпеки населення та інтересів держави у зв’язку з військовою агресією російської федерації проти України;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 осіб з інвалідністю внаслідок війни (на підставі посвідчення батька чи матері);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батьки, яких загинули під час виконання службових обов’язків;</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чиї батьки призвані на військову службу по мобілізації на виконання Указу Президента України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 загальну мобілізацію</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підставі відповідних документів);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чиї батьки мають статус бійця-добровольця антитерористичної операції (на підставі копії відповідного посвідчення);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чиї батьки є добровольцями добровольчого формування Луцької міської     територіальної громади № 1 (на підставі документів, виданих відповідними уповноваженими органами);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чиї батьки є постраждалими учасниками Революції Гідності (на підставі документів, виданих відповідними уповноваженими органами);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зниклих безвісти військовослужбовців та військовополонених (на підставі довідок, виданих відповідними уповноваженими органами);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дітям, яким надано статуси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Член сім’ї загиблого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Член сім’ї загиблого Захисника чи Захисниці України</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сім’ях, де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дітей-сиріт та дітей, позбавлених батьківського піклування, дітей з інвалідністю;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військовослужбовців, які загинули (померли) (на підставі документів, виданих департаментом соціальної та ветеранської політики);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чиї батьки призвані на військову службу за контрактом (на підставі відповідних документів);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дітей, з числа внутрішньо переміщених осіб чи дітей, які мають статус дитини, яка постраждала внаслідок воєнних дій і збройних конфліктів;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закладі дошкільної освіти (групах) – для дітей з малими й затухаючими формами туберкульозу, у спеціальних закладах дошкільної освіти (групах), інклюзивних групах – для дітей, які потребують корекції фізичного та розумового розвитку.</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Витрати на пільгове харчування дітей провести в межах загальних асигнувань, виділених на утримання закладів дошкільної освіти на 2025 рік.</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Відповідальність за організацію та хід виконання наказу покласти на головного бухгалтера централізованої бухгалтерії Жовнірук Р.В., спеціаліста відділу дошкільної, загальної середньої освіти Гдиру В.С., керівників закладів дошкільної освіти, директора комунального закладу середньої освіти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Клепачівська гімназія № 35 Луцької міської ради</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Контроль за виконання наказу залишаю за собою.</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object w:dxaOrig="3314" w:dyaOrig="1394">
          <v:rect xmlns:o="urn:schemas-microsoft-com:office:office" xmlns:v="urn:schemas-microsoft-com:vml" id="rectole0000000001" style="width:165.700000pt;height:69.7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Директора департаменту                                                          Віталій БОНДАР</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Валентина Гдира 728 058</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edia/image0.wmf" Id="docRId1" Type="http://schemas.openxmlformats.org/officeDocument/2006/relationships/image"/><Relationship Target="media/image1.wmf" Id="docRId3" Type="http://schemas.openxmlformats.org/officeDocument/2006/relationships/image"/><Relationship Target="styles.xml" Id="docRId5" Type="http://schemas.openxmlformats.org/officeDocument/2006/relationships/styles"/><Relationship Target="embeddings/oleObject0.bin" Id="docRId0" Type="http://schemas.openxmlformats.org/officeDocument/2006/relationships/oleObject"/><Relationship Target="embeddings/oleObject1.bin" Id="docRId2" Type="http://schemas.openxmlformats.org/officeDocument/2006/relationships/oleObject"/><Relationship Target="numbering.xml" Id="docRId4" Type="http://schemas.openxmlformats.org/officeDocument/2006/relationships/numbering"/></Relationships>
</file>